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20C" w:rsidRPr="0085120C" w:rsidRDefault="0085120C" w:rsidP="0085120C">
      <w:pPr>
        <w:shd w:val="clear" w:color="auto" w:fill="FFFFFF"/>
        <w:spacing w:after="150" w:line="330" w:lineRule="atLeast"/>
        <w:textAlignment w:val="baseline"/>
        <w:outlineLvl w:val="1"/>
        <w:rPr>
          <w:rFonts w:ascii="Arial" w:eastAsia="Times New Roman" w:hAnsi="Arial" w:cs="Arial"/>
          <w:color w:val="333333"/>
          <w:sz w:val="30"/>
          <w:szCs w:val="30"/>
          <w:lang w:eastAsia="ro-RO"/>
        </w:rPr>
      </w:pPr>
      <w:r w:rsidRPr="0085120C">
        <w:rPr>
          <w:rFonts w:ascii="Arial" w:eastAsia="Times New Roman" w:hAnsi="Arial" w:cs="Arial"/>
          <w:color w:val="333333"/>
          <w:sz w:val="30"/>
          <w:szCs w:val="30"/>
          <w:lang w:eastAsia="ro-RO"/>
        </w:rPr>
        <w:t>Clarificări la Ordinul comun M.E.C/M.S. nr. 3.235/93/04.02.2021</w:t>
      </w:r>
    </w:p>
    <w:p w:rsidR="0085120C" w:rsidRPr="0085120C" w:rsidRDefault="0085120C" w:rsidP="0085120C">
      <w:pPr>
        <w:shd w:val="clear" w:color="auto" w:fill="FFFFFF"/>
        <w:spacing w:after="0" w:line="270" w:lineRule="atLeast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o-RO"/>
        </w:rPr>
      </w:pPr>
      <w:r w:rsidRPr="0085120C">
        <w:rPr>
          <w:rFonts w:ascii="Arial" w:eastAsia="Times New Roman" w:hAnsi="Arial" w:cs="Arial"/>
          <w:color w:val="999999"/>
          <w:sz w:val="18"/>
          <w:szCs w:val="18"/>
          <w:bdr w:val="none" w:sz="0" w:space="0" w:color="auto" w:frame="1"/>
          <w:lang w:eastAsia="ro-RO"/>
        </w:rPr>
        <w:t>6 februarie 2021</w:t>
      </w:r>
      <w:r w:rsidRPr="0085120C">
        <w:rPr>
          <w:rFonts w:ascii="Arial" w:eastAsia="Times New Roman" w:hAnsi="Arial" w:cs="Arial"/>
          <w:color w:val="999999"/>
          <w:sz w:val="18"/>
          <w:szCs w:val="18"/>
          <w:lang w:eastAsia="ro-RO"/>
        </w:rPr>
        <w:t>   </w:t>
      </w:r>
      <w:hyperlink r:id="rId4" w:history="1">
        <w:r w:rsidRPr="0085120C">
          <w:rPr>
            <w:rFonts w:ascii="Arial" w:eastAsia="Times New Roman" w:hAnsi="Arial" w:cs="Arial"/>
            <w:color w:val="E44B3E"/>
            <w:sz w:val="18"/>
            <w:szCs w:val="18"/>
            <w:bdr w:val="none" w:sz="0" w:space="0" w:color="auto" w:frame="1"/>
            <w:lang w:eastAsia="ro-RO"/>
          </w:rPr>
          <w:t>Comunicări</w:t>
        </w:r>
      </w:hyperlink>
    </w:p>
    <w:p w:rsidR="0085120C" w:rsidRPr="0085120C" w:rsidRDefault="0085120C" w:rsidP="0085120C">
      <w:pPr>
        <w:shd w:val="clear" w:color="auto" w:fill="FFFFFF"/>
        <w:spacing w:after="75" w:line="300" w:lineRule="atLeast"/>
        <w:ind w:firstLine="225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o-RO"/>
        </w:rPr>
      </w:pPr>
      <w:bookmarkStart w:id="0" w:name="_GoBack"/>
      <w:bookmarkEnd w:id="0"/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 </w:t>
      </w:r>
    </w:p>
    <w:p w:rsidR="0085120C" w:rsidRPr="0085120C" w:rsidRDefault="0085120C" w:rsidP="0085120C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o-RO"/>
        </w:rPr>
      </w:pP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Data publicării:</w:t>
      </w:r>
    </w:p>
    <w:p w:rsidR="0085120C" w:rsidRPr="0085120C" w:rsidRDefault="0085120C" w:rsidP="0085120C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o-RO"/>
        </w:rPr>
      </w:pPr>
      <w:r w:rsidRPr="0085120C">
        <w:rPr>
          <w:rFonts w:ascii="Arial" w:eastAsia="Times New Roman" w:hAnsi="Arial" w:cs="Arial"/>
          <w:color w:val="555555"/>
          <w:sz w:val="20"/>
          <w:szCs w:val="20"/>
          <w:bdr w:val="none" w:sz="0" w:space="0" w:color="auto" w:frame="1"/>
          <w:lang w:eastAsia="ro-RO"/>
        </w:rPr>
        <w:t>Sâmbătă, 6 Februarie, 2021</w:t>
      </w:r>
    </w:p>
    <w:p w:rsidR="0085120C" w:rsidRPr="0085120C" w:rsidRDefault="0085120C" w:rsidP="0085120C">
      <w:pPr>
        <w:shd w:val="clear" w:color="auto" w:fill="FFFFFF"/>
        <w:spacing w:after="75" w:line="300" w:lineRule="atLeast"/>
        <w:ind w:firstLine="225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o-RO"/>
        </w:rPr>
      </w:pP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 xml:space="preserve">Ministerul Educației sprijină, conform atribuțiilor ce-i revin, aplicarea măsurilor de prevenție privind prevenirea </w:t>
      </w:r>
      <w:proofErr w:type="spellStart"/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şi</w:t>
      </w:r>
      <w:proofErr w:type="spellEnd"/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 xml:space="preserve"> combaterea îmbolnăvirilor cu virusul SARS-CoV-2 în scopul asigurării dreptului la </w:t>
      </w:r>
      <w:proofErr w:type="spellStart"/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învăţătură</w:t>
      </w:r>
      <w:proofErr w:type="spellEnd"/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 xml:space="preserve"> </w:t>
      </w:r>
      <w:proofErr w:type="spellStart"/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şi</w:t>
      </w:r>
      <w:proofErr w:type="spellEnd"/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 xml:space="preserve"> a dreptului la sănătate, cu respectarea strictă a cadrului legal în vigoare.</w:t>
      </w:r>
    </w:p>
    <w:p w:rsidR="0085120C" w:rsidRPr="0085120C" w:rsidRDefault="0085120C" w:rsidP="0085120C">
      <w:pPr>
        <w:shd w:val="clear" w:color="auto" w:fill="FFFFFF"/>
        <w:spacing w:after="0" w:line="300" w:lineRule="atLeast"/>
        <w:ind w:firstLine="225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o-RO"/>
        </w:rPr>
      </w:pPr>
      <w:hyperlink r:id="rId5" w:tgtFrame="_blank" w:history="1">
        <w:r w:rsidRPr="0085120C">
          <w:rPr>
            <w:rFonts w:ascii="Arial" w:eastAsia="Times New Roman" w:hAnsi="Arial" w:cs="Arial"/>
            <w:color w:val="E44B3E"/>
            <w:sz w:val="20"/>
            <w:szCs w:val="20"/>
            <w:bdr w:val="none" w:sz="0" w:space="0" w:color="auto" w:frame="1"/>
            <w:lang w:eastAsia="ro-RO"/>
          </w:rPr>
          <w:t>Ordinul comun M.E.C/M.S. nr. 3.235/93/04.02.2021</w:t>
        </w:r>
      </w:hyperlink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 xml:space="preserve"> specifică în mod expres la Punctul VII, </w:t>
      </w:r>
      <w:proofErr w:type="spellStart"/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lit.b</w:t>
      </w:r>
      <w:proofErr w:type="spellEnd"/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) și c) din Anexa, faptul că:</w:t>
      </w:r>
    </w:p>
    <w:p w:rsidR="0085120C" w:rsidRPr="0085120C" w:rsidRDefault="0085120C" w:rsidP="0085120C">
      <w:pPr>
        <w:shd w:val="clear" w:color="auto" w:fill="FFFFFF"/>
        <w:spacing w:after="0" w:line="300" w:lineRule="atLeast"/>
        <w:ind w:firstLine="225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o-RO"/>
        </w:rPr>
      </w:pP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„b) </w:t>
      </w:r>
      <w:r w:rsidRPr="0085120C">
        <w:rPr>
          <w:rFonts w:ascii="Arial" w:eastAsia="Times New Roman" w:hAnsi="Arial" w:cs="Arial"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>În cazul în care elevii prezintă în timpul orelor de curs stare febrilă sau alta simptomatologie specifică infectării cu SARS-CoV-2, se aplică protocolul de izolare. </w:t>
      </w:r>
      <w:r w:rsidRPr="0085120C">
        <w:rPr>
          <w:rFonts w:ascii="Arial" w:eastAsia="Times New Roman" w:hAnsi="Arial" w:cs="Arial"/>
          <w:b/>
          <w:bCs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>În cazul în care există un consimțământ informat și semnat al părintelui/tutorele legal </w:t>
      </w:r>
      <w:r w:rsidRPr="0085120C">
        <w:rPr>
          <w:rFonts w:ascii="Arial" w:eastAsia="Times New Roman" w:hAnsi="Arial" w:cs="Arial"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>cu privire la acordul de recoltare a probelor de exsudat nazofaringian în vederea testării elevilor simptomatici, </w:t>
      </w:r>
      <w:r w:rsidRPr="0085120C">
        <w:rPr>
          <w:rFonts w:ascii="Arial" w:eastAsia="Times New Roman" w:hAnsi="Arial" w:cs="Arial"/>
          <w:b/>
          <w:bCs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>aceștia vor putea fi testați</w:t>
      </w:r>
      <w:r w:rsidRPr="0085120C">
        <w:rPr>
          <w:rFonts w:ascii="Arial" w:eastAsia="Times New Roman" w:hAnsi="Arial" w:cs="Arial"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>, într-o primă fază, cu teste antigen rapide, în cadrul cabinetelor medicale. Elevul care a împlinit vârsta de 18 ani va semna consimțământul personal. Toate testele rapide efectuate în cabinetul medical școlar de la nivelul unității de învățământ vor fi raportate către DSP/DSPMB în maxim 24 ore. </w:t>
      </w:r>
      <w:r w:rsidRPr="0085120C">
        <w:rPr>
          <w:rFonts w:ascii="Arial" w:eastAsia="Times New Roman" w:hAnsi="Arial" w:cs="Arial"/>
          <w:b/>
          <w:bCs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>Dacă părintele/tutorele legal nu își exprimă acordul </w:t>
      </w:r>
      <w:r w:rsidRPr="0085120C">
        <w:rPr>
          <w:rFonts w:ascii="Arial" w:eastAsia="Times New Roman" w:hAnsi="Arial" w:cs="Arial"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>pentru testare, în cazul existenței unor simptome specifice, ca și în cazul în care nu există cabinet medical în unitatea școlară,</w:t>
      </w:r>
      <w:r w:rsidRPr="0085120C">
        <w:rPr>
          <w:rFonts w:ascii="Arial" w:eastAsia="Times New Roman" w:hAnsi="Arial" w:cs="Arial"/>
          <w:b/>
          <w:bCs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 xml:space="preserve"> acesta va lua </w:t>
      </w:r>
      <w:proofErr w:type="spellStart"/>
      <w:r w:rsidRPr="0085120C">
        <w:rPr>
          <w:rFonts w:ascii="Arial" w:eastAsia="Times New Roman" w:hAnsi="Arial" w:cs="Arial"/>
          <w:b/>
          <w:bCs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>legatura</w:t>
      </w:r>
      <w:proofErr w:type="spellEnd"/>
      <w:r w:rsidRPr="0085120C">
        <w:rPr>
          <w:rFonts w:ascii="Arial" w:eastAsia="Times New Roman" w:hAnsi="Arial" w:cs="Arial"/>
          <w:b/>
          <w:bCs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 xml:space="preserve"> cu medicul de familie în vederea stabilirii pașilor următori.</w:t>
      </w:r>
    </w:p>
    <w:p w:rsidR="0085120C" w:rsidRPr="0085120C" w:rsidRDefault="0085120C" w:rsidP="0085120C">
      <w:pPr>
        <w:shd w:val="clear" w:color="auto" w:fill="FFFFFF"/>
        <w:spacing w:after="0" w:line="300" w:lineRule="atLeast"/>
        <w:ind w:firstLine="225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o-RO"/>
        </w:rPr>
      </w:pP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c) </w:t>
      </w:r>
      <w:r w:rsidRPr="0085120C">
        <w:rPr>
          <w:rFonts w:ascii="Arial" w:eastAsia="Times New Roman" w:hAnsi="Arial" w:cs="Arial"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>Testarea cu teste antigen rapide se recomandă și</w:t>
      </w: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:</w:t>
      </w:r>
    </w:p>
    <w:p w:rsidR="0085120C" w:rsidRPr="0085120C" w:rsidRDefault="0085120C" w:rsidP="0085120C">
      <w:pPr>
        <w:shd w:val="clear" w:color="auto" w:fill="FFFFFF"/>
        <w:spacing w:after="0" w:line="300" w:lineRule="atLeast"/>
        <w:ind w:firstLine="225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o-RO"/>
        </w:rPr>
      </w:pP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1)</w:t>
      </w:r>
      <w:r w:rsidRPr="0085120C">
        <w:rPr>
          <w:rFonts w:ascii="Arial" w:eastAsia="Times New Roman" w:hAnsi="Arial" w:cs="Arial"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> cadrelor didactice și altor angajați ai unității școlare, simptomatici, a căror simptomatologie de boală debutează în timpul orelor de curs;</w:t>
      </w:r>
    </w:p>
    <w:p w:rsidR="0085120C" w:rsidRPr="0085120C" w:rsidRDefault="0085120C" w:rsidP="0085120C">
      <w:pPr>
        <w:shd w:val="clear" w:color="auto" w:fill="FFFFFF"/>
        <w:spacing w:after="0" w:line="300" w:lineRule="atLeast"/>
        <w:ind w:firstLine="225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o-RO"/>
        </w:rPr>
      </w:pP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2) </w:t>
      </w:r>
      <w:r w:rsidRPr="0085120C">
        <w:rPr>
          <w:rFonts w:ascii="Arial" w:eastAsia="Times New Roman" w:hAnsi="Arial" w:cs="Arial"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>colegilor cazurilor confirmate atât elevi (colegi de clasă) cât și cadre didactice/personal auxiliar din unitatea de învățământ (inclusiv celor asimptomatici), imediat după confirmarea primului caz</w:t>
      </w: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.”</w:t>
      </w:r>
    </w:p>
    <w:p w:rsidR="0085120C" w:rsidRPr="0085120C" w:rsidRDefault="0085120C" w:rsidP="0085120C">
      <w:pPr>
        <w:shd w:val="clear" w:color="auto" w:fill="FFFFFF"/>
        <w:spacing w:after="75" w:line="300" w:lineRule="atLeast"/>
        <w:ind w:firstLine="225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o-RO"/>
        </w:rPr>
      </w:pP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Dispozițiile ordinului comun sunt în concordanță cu prevederile art. 660 din Legea nr. 95/ 2006, republicată, cu modificările și completările ulterioare, privind reforma în domeniul sănătății care prevede:</w:t>
      </w:r>
    </w:p>
    <w:p w:rsidR="0085120C" w:rsidRPr="0085120C" w:rsidRDefault="0085120C" w:rsidP="0085120C">
      <w:pPr>
        <w:shd w:val="clear" w:color="auto" w:fill="FFFFFF"/>
        <w:spacing w:after="0" w:line="300" w:lineRule="atLeast"/>
        <w:ind w:firstLine="225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o-RO"/>
        </w:rPr>
      </w:pP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,,Art. 660 (1) </w:t>
      </w:r>
      <w:r w:rsidRPr="0085120C">
        <w:rPr>
          <w:rFonts w:ascii="Arial" w:eastAsia="Times New Roman" w:hAnsi="Arial" w:cs="Arial"/>
          <w:b/>
          <w:bCs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>Pentru a fi supus la metode de prevenție</w:t>
      </w: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, diagnostic și tratament, cu potențial de risc pentru pacient, după explicarea lor de către medic, medic stomatolog, asistent medical/moașă, conform prevederilor alin. (2) și (3), </w:t>
      </w:r>
      <w:r w:rsidRPr="0085120C">
        <w:rPr>
          <w:rFonts w:ascii="Arial" w:eastAsia="Times New Roman" w:hAnsi="Arial" w:cs="Arial"/>
          <w:b/>
          <w:bCs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>pacientului i se solicită acordul scris</w:t>
      </w: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.</w:t>
      </w:r>
    </w:p>
    <w:p w:rsidR="0085120C" w:rsidRPr="0085120C" w:rsidRDefault="0085120C" w:rsidP="0085120C">
      <w:pPr>
        <w:shd w:val="clear" w:color="auto" w:fill="FFFFFF"/>
        <w:spacing w:after="0" w:line="300" w:lineRule="atLeast"/>
        <w:ind w:firstLine="225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o-RO"/>
        </w:rPr>
      </w:pP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(2) </w:t>
      </w:r>
      <w:r w:rsidRPr="0085120C">
        <w:rPr>
          <w:rFonts w:ascii="Arial" w:eastAsia="Times New Roman" w:hAnsi="Arial" w:cs="Arial"/>
          <w:b/>
          <w:bCs/>
          <w:i/>
          <w:iCs/>
          <w:color w:val="555555"/>
          <w:sz w:val="20"/>
          <w:szCs w:val="20"/>
          <w:bdr w:val="none" w:sz="0" w:space="0" w:color="auto" w:frame="1"/>
          <w:lang w:eastAsia="ro-RO"/>
        </w:rPr>
        <w:t>În obținerea acordului scris al pacientului, medicul, medicul stomatolog, asistentul medical/moașa sunt datori să prezinte pacientului informații la un nivel științific rezonabil pentru puterea de înțelegere a acestuia</w:t>
      </w: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.</w:t>
      </w:r>
    </w:p>
    <w:p w:rsidR="0085120C" w:rsidRPr="0085120C" w:rsidRDefault="0085120C" w:rsidP="0085120C">
      <w:pPr>
        <w:shd w:val="clear" w:color="auto" w:fill="FFFFFF"/>
        <w:spacing w:after="75" w:line="300" w:lineRule="atLeast"/>
        <w:ind w:firstLine="225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o-RO"/>
        </w:rPr>
      </w:pP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(3) Informațiile trebuie să conțină: diagnosticul, natura și scopul tratamentului, riscurile și consecințele tratamentului propus, alternativele viabile de tratament, riscurile și consecințele lor, prognosticul bolii fără aplicarea tratamentului.”</w:t>
      </w:r>
    </w:p>
    <w:p w:rsidR="0085120C" w:rsidRPr="0085120C" w:rsidRDefault="0085120C" w:rsidP="0085120C">
      <w:pPr>
        <w:shd w:val="clear" w:color="auto" w:fill="FFFFFF"/>
        <w:spacing w:after="75" w:line="300" w:lineRule="atLeast"/>
        <w:ind w:firstLine="225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o-RO"/>
        </w:rPr>
      </w:pP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Deși în ordinul comun nu este reglementat conținutul formularului privind consimțământul informat sau obligația transmiterii consimțământului informat începând cu revenirea la cursuri/ transmiterea consimțământului informat anterior intervenirii unor situații speciale, precizăm că toți acei părinți care doresc completarea formularelor de consimțământ anticipat pentru testare în cazul apariției unor situații speciale, o pot face din proprie inițiativă.</w:t>
      </w:r>
    </w:p>
    <w:p w:rsidR="0085120C" w:rsidRPr="0085120C" w:rsidRDefault="0085120C" w:rsidP="0085120C">
      <w:pPr>
        <w:shd w:val="clear" w:color="auto" w:fill="FFFFFF"/>
        <w:spacing w:after="75" w:line="300" w:lineRule="atLeast"/>
        <w:ind w:firstLine="225"/>
        <w:textAlignment w:val="baseline"/>
        <w:rPr>
          <w:rFonts w:ascii="Arial" w:eastAsia="Times New Roman" w:hAnsi="Arial" w:cs="Arial"/>
          <w:color w:val="555555"/>
          <w:sz w:val="20"/>
          <w:szCs w:val="20"/>
          <w:lang w:eastAsia="ro-RO"/>
        </w:rPr>
      </w:pPr>
      <w:r w:rsidRPr="0085120C">
        <w:rPr>
          <w:rFonts w:ascii="Arial" w:eastAsia="Times New Roman" w:hAnsi="Arial" w:cs="Arial"/>
          <w:color w:val="555555"/>
          <w:sz w:val="20"/>
          <w:szCs w:val="20"/>
          <w:lang w:eastAsia="ro-RO"/>
        </w:rPr>
        <w:t>În interesul bunei organizări și al siguranței sanitare în școli, Ministerul Educației va sprijini Ministerul Sănătății pentru transmiterea recomandării de a colecta (benevol/non-obligatoriu) formularele de consimțământ informat pentru testare în cazul apariției unor situații speciale.</w:t>
      </w:r>
    </w:p>
    <w:p w:rsidR="00027F0D" w:rsidRDefault="00027F0D"/>
    <w:sectPr w:rsidR="00027F0D" w:rsidSect="0085120C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39"/>
    <w:rsid w:val="00027F0D"/>
    <w:rsid w:val="0085120C"/>
    <w:rsid w:val="00C3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B0509-727C-456C-A9C7-68364FBB5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2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1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ro/Ordin_3235_93_4_02_2021_siguranta_epidemiologica_scoli" TargetMode="External"/><Relationship Id="rId4" Type="http://schemas.openxmlformats.org/officeDocument/2006/relationships/hyperlink" Target="http://www.isjneamt.ro/site/category/comunicari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Lupes Fenina</dc:creator>
  <cp:keywords/>
  <dc:description/>
  <cp:lastModifiedBy>Lupes Fenina</cp:lastModifiedBy>
  <cp:revision>2</cp:revision>
  <dcterms:created xsi:type="dcterms:W3CDTF">2021-02-08T07:32:00Z</dcterms:created>
  <dcterms:modified xsi:type="dcterms:W3CDTF">2021-02-08T07:33:00Z</dcterms:modified>
</cp:coreProperties>
</file>